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9A" w:rsidRDefault="00297C9A" w:rsidP="00297C9A">
      <w:pPr>
        <w:spacing w:before="100" w:beforeAutospacing="1" w:after="100" w:afterAutospacing="1" w:line="240" w:lineRule="auto"/>
        <w:jc w:val="right"/>
        <w:rPr>
          <w:b/>
          <w:sz w:val="24"/>
        </w:rPr>
      </w:pPr>
      <w:r>
        <w:rPr>
          <w:b/>
          <w:sz w:val="24"/>
        </w:rPr>
        <w:t>Załącznik nr 1 – opis przedmiotu zamówienia</w:t>
      </w:r>
    </w:p>
    <w:p w:rsidR="0034713A" w:rsidRPr="00B5449D" w:rsidRDefault="0034713A" w:rsidP="000C6F97">
      <w:pPr>
        <w:pStyle w:val="Akapitzlist"/>
        <w:numPr>
          <w:ilvl w:val="0"/>
          <w:numId w:val="1"/>
        </w:numPr>
        <w:spacing w:before="100" w:beforeAutospacing="1" w:after="100" w:afterAutospacing="1" w:line="240" w:lineRule="auto"/>
        <w:ind w:left="0" w:firstLine="0"/>
        <w:jc w:val="both"/>
        <w:rPr>
          <w:b/>
          <w:sz w:val="24"/>
        </w:rPr>
      </w:pPr>
      <w:r w:rsidRPr="00B5449D">
        <w:rPr>
          <w:b/>
          <w:sz w:val="24"/>
        </w:rPr>
        <w:t xml:space="preserve">Informacje ogólne </w:t>
      </w:r>
    </w:p>
    <w:p w:rsidR="00F05DA0" w:rsidRDefault="002B7A6E" w:rsidP="00F05DA0">
      <w:pPr>
        <w:spacing w:after="0" w:line="240" w:lineRule="auto"/>
        <w:ind w:firstLine="709"/>
        <w:jc w:val="both"/>
      </w:pPr>
      <w:r>
        <w:t xml:space="preserve">Przedmiotem zadania jest </w:t>
      </w:r>
      <w:r w:rsidR="00F05DA0">
        <w:t xml:space="preserve">przystosowanie istniejącego systemu monitoringu wizyjnego CCTV </w:t>
      </w:r>
    </w:p>
    <w:p w:rsidR="00CD460F" w:rsidRDefault="00F05DA0" w:rsidP="00F05DA0">
      <w:pPr>
        <w:spacing w:after="0" w:line="240" w:lineRule="auto"/>
        <w:jc w:val="both"/>
      </w:pPr>
      <w:r>
        <w:t xml:space="preserve">na terenie Hali Milenium w Kołobrzegu do wymagań Rozporządzenia Ministra Spraw Wewnętrznych i Administracji z dnia 10 stycznia 2011 r. w sprawie sposobu utrwalania przebiegu imprezy masowej z jednoczesną  integracją  z  istniejącymi  instalacjami  monitoringu  miasta  Kołobrzeg  oraz  Stadionu Miejskiego w Kołobrzegu. </w:t>
      </w:r>
      <w:r w:rsidR="00893FE7" w:rsidRPr="00E03D0C">
        <w:t xml:space="preserve"> </w:t>
      </w:r>
    </w:p>
    <w:p w:rsidR="00B5449D" w:rsidRPr="00B5449D" w:rsidRDefault="00B5449D" w:rsidP="00F05DA0">
      <w:pPr>
        <w:pStyle w:val="Akapitzlist"/>
        <w:numPr>
          <w:ilvl w:val="0"/>
          <w:numId w:val="1"/>
        </w:numPr>
        <w:spacing w:after="0" w:line="240" w:lineRule="auto"/>
        <w:ind w:hanging="720"/>
        <w:jc w:val="both"/>
        <w:rPr>
          <w:b/>
          <w:sz w:val="24"/>
        </w:rPr>
      </w:pPr>
      <w:r w:rsidRPr="00B5449D">
        <w:rPr>
          <w:b/>
          <w:sz w:val="24"/>
        </w:rPr>
        <w:t xml:space="preserve">Opis przedmiotu zamówienia </w:t>
      </w:r>
    </w:p>
    <w:p w:rsidR="00F05DA0" w:rsidRDefault="00F05DA0" w:rsidP="00F05DA0">
      <w:pPr>
        <w:autoSpaceDE w:val="0"/>
        <w:autoSpaceDN w:val="0"/>
        <w:adjustRightInd w:val="0"/>
        <w:spacing w:after="0" w:line="240" w:lineRule="auto"/>
        <w:ind w:firstLine="708"/>
        <w:jc w:val="both"/>
      </w:pPr>
      <w:r>
        <w:t xml:space="preserve">Zadanie  obejmuje  modernizację  oraz  dostosowanie  istniejącego  systemu  monitoringu wizyjnego  w  obszarze  Hali  Milenium  do  wymagań  Rozporządzenia  z  uwzględnieniem  integracji  z systemem monitoringu miejskiego miasta Kołobrzeg oraz Stadionu. W  ramach  zadania,  zgodnie  z  projektem  wykonawczym  pn.  „Modernizacja  systemu monitoringu wizyjnego CCTV na potrzeby monitoringu imprez masowych” z sierpnia 2018, będącym załącznikiem do niniejszego postępowania, należy: </w:t>
      </w:r>
    </w:p>
    <w:p w:rsidR="00F05DA0" w:rsidRDefault="00F05DA0" w:rsidP="00F05DA0">
      <w:pPr>
        <w:pStyle w:val="Akapitzlist"/>
        <w:numPr>
          <w:ilvl w:val="0"/>
          <w:numId w:val="20"/>
        </w:numPr>
        <w:autoSpaceDE w:val="0"/>
        <w:autoSpaceDN w:val="0"/>
        <w:adjustRightInd w:val="0"/>
        <w:spacing w:after="0" w:line="240" w:lineRule="auto"/>
        <w:ind w:left="284" w:hanging="284"/>
        <w:jc w:val="both"/>
      </w:pPr>
      <w:r>
        <w:t xml:space="preserve">Dostarczyć, zainstalować i skonfigurować punkty kamerowe obejmujące nadzorem obszar Hali Widowiskowo  –  Sportowej,  ciągi  komunikacyjne, obszar  stanowisk  kasowych,  parkingi  oraz teren wokół Hali Milenium.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Dla  każdej  kamery  należy wykonać  nowe okablowanie  sygnałowe  i  zasilające. Okablowanie prowadzić nowymi oraz istniejącymi trasami kablowymi.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Wydzielić  sieć  LAN  biurową  od  sieci  SEC-LAN  na  potrzeby  systemu  monitoringu  wizyjnego CCTV.</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 Rozbudować i skonfigurować istniejące pośrednie punkty dystrybucyjne PPD oraz wybudować nowe.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Każdy  punkt  PPD  należy wyposażyć  w osprzęt  pasywny  oraz  urządzenia  aktywne  zgodnie  z projektem.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Dostarczyć,  zainstalować  i  skonfigurować  nową  jednostkę  obliczeniową  w  ramach modernizacji istniejącego zespołu rejestratora cyfrowego.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Zespół  rejestratora  cyfrowego  wyposażyć  w  dodatkowe moduły  macierzy  dyskowych,  na których będzie archiwizowany zapis z przebiegu trwania imprez masowych. Zgodnie z Ustawą z dn. 20 marca 2009 r. o bezpieczeństwie imprez masowych, po przeprowadzonej modernizacji należy zapewnić czas archiwizacji materiału przez okres 30 dni. Zespół macierzy dyskowych ma realizować funkcje automatycznego tworzenia i archiwizowania kopii zapasowych materiałów z imprez masowych niezależnie od zapisu w głównej przestrzeni bazy danych.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Dostarczyć, zainstalować i skonfigurować nowe jednostki operatorskie systemu monitoringu wizyjnego.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Zintegrować  w  ramach  systemu  monitoringu  wizyjnego  w  obszarze  Hali  Milenium,  system monitoringu  w  części  hotelowo  –  basenowej,  w  zakresie  wskazanym  w  Projekcie Wykonawczym.  Sygnały  z  modernizowanych  kamer  w  tym  obszarze  należy  podłączyć  do zespołu rejestratora cyfrowego hali.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Udostępnić operatorom policji monitoringu miasta Kołobrzeg obrazy na żywo z możliwością sterowania oraz nagrania archiwalne z kamer obszaru imprezy masowej. Oficer dyżurny policji oraz  stanowiska  ochrony  muszą  mieć  pełny  dostęp  do  kamer,  tzn.  pełną  kontrolę  nad sterowaniem  kamerami  obrotowymi  z  najwyższym  priorytetem  dostępu  dla  operatora ochrony zabezpieczającego imprezę masową.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Udostępnić operatorom policji monitoringu miasta Kołobrzeg obrazy na żywo z możliwością sterowania  oraz  nagrania  archiwalne  z  kamer  zewnętrznych  obrotowych  zainstalowanych wokół  Hali  Milenium.  Kamery  te  należy  włączyć  do  system  monitoringu  miejskiego  miasta Kołobrzeg. Oficer dyżurny policji oraz stanowiska ochrony muszą mieć pełny dostęp do kamer, tzn.  pełną  kontrolę  nad  sterowaniem  kamerami  obrotowymi  z  najwyższym  priorytetem dostępu dla policji.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W  związku  z  brakiem  całodobowej  ochrony  na  stadionie  miejskim,  należy  udostępnić operatorowi ochrony Hali Milenium podgląd na żywo </w:t>
      </w:r>
      <w:proofErr w:type="spellStart"/>
      <w:r>
        <w:t>zmożliwością</w:t>
      </w:r>
      <w:proofErr w:type="spellEnd"/>
      <w:r>
        <w:t xml:space="preserve"> sterowania oraz nagrania archiwalne z kamer zainstalowanych na stadionie miejskim.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Udostępnić  operatorowi  służby  ochrony  stadionu  miejskiego  kamery  zewnętrzne zainstalowane na terenie zewnętrznym Hali Milenium.</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Dokonać rekonfiguracji ustawień i parametrów pracy  zespołu rejestratorów cyfrowych oraz wszystkich jednostek operatorskich, uwzględniające wyżej opisane zmiany funkcjonalne.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Zapewnić pełną integralność i spójność na poziomie sprzętowym i programowym z istniejącym zespołem rejestratorów cyfrowych systemu monitoringu miasta Kołobrzeg. Integracji dokonać przy  użyciu  dedykowanych  interfejsów  sprzętowo-programowych.  Po  modernizacji  i rozbudowie  zespół  rejestratorów  cyfrowych  musi  zapewnić  m.in.  swobodne  łączenie podglądów na żywo oraz archiwów poszczególnych rejestratorów i kamer z poziomu jednej jednostki  klienckiej,  oraz  nadawanie  wspólnych  uprawnień  dla  operatorów  we  wszystkich lokalizacjach.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Szczegółowy zakres prac oraz wymagania funkcjonalne opisano w dokumentacji projektowej „Modernizacja systemu monitoringu wizyjnego CCTV na potrzeby monitoringu imprez masowych” z sierpnia 2018, będącej załącznikiem do niniejszego postępowania.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Użyte  w  niniejszej  dokumentacji  opisy  materiałów  i  urządzeń  przez  wskazanie  znaków towarowych, patentów lub pochodzenia mogą być przed przystąpieniem do realizacji, to jest: na etapie przygotowania  realizacji  (w  tym  oferty  przez  Wykonawców)  zastąpione  innymi  materiałami  i urządzeniami  równorzędnymi,  spełniającymi  parametry techniczne,  funkcjonalne  i  jakościowe  pod warunkiem,  że  proponowane  zmiany  zostaną  na  opisanym  etapie  realizacji  uzgodnione  z Zamawiającym.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Zamawiający przy zgodzie na zmiany będzie kierować się wyłącznie warunkiem zachowania w proponowanych  urządzeniach  zamiennych  zaprojektowanych  parametrów  technicznych, funkcjonalnych  i  jakościowych.  Ewentualne  zmiany  nie  mogą  doprowadzić  do  zaniżenia zaprojektowanego  standardu  systemu.  Wszelkie  propozycje  zmian  należy  kierować  do  siedziby Zamawiającego.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Z powyższych względów zaleca się podmiotom, biorącym udział w postępowaniu o zamówienie szczegółowe zapoznanie się z niniejszą dokumentacją. W przypadku składania ofert z zastosowaniem urządzeń  innych,  podstawą  do  akceptacji  zmian  będzie  dokładna  informacja  o  zastosowanych urządzeniach, w rozumieniu: nazwa producenta, model, typ lub wersja proponowanego urządzenia oraz ilość, wraz z tabelarycznym zestawieniem porównawczym danych technicznych i funkcjonalnych. </w:t>
      </w:r>
    </w:p>
    <w:p w:rsidR="00F05DA0" w:rsidRDefault="00F05DA0" w:rsidP="00F05DA0">
      <w:pPr>
        <w:pStyle w:val="Akapitzlist"/>
        <w:numPr>
          <w:ilvl w:val="0"/>
          <w:numId w:val="19"/>
        </w:numPr>
        <w:autoSpaceDE w:val="0"/>
        <w:autoSpaceDN w:val="0"/>
        <w:adjustRightInd w:val="0"/>
        <w:spacing w:after="0" w:line="240" w:lineRule="auto"/>
        <w:ind w:left="284" w:hanging="284"/>
        <w:jc w:val="both"/>
      </w:pPr>
      <w:r>
        <w:t xml:space="preserve">Jednocześnie w przypadku stosowania rozwiązań zamiennych lub alternatywnych należy przedstawić w  ofercie  dowody  w  postaci  zaktualizowanych  schematów  blokowych  oraz  obliczeń  technicznych, które  potwierdzą  spełnienie  opisanych  w  niniejszym  dokumencie  wymagań  funkcjonalnych  i technicznych  dla  ofertowanych  urządzeń  i  systemów.  Brak  takich  informacji  spowoduje  odmowę badania oferty i zalecenie jej odrzucenia przez Zamawiającego. </w:t>
      </w:r>
    </w:p>
    <w:p w:rsidR="009E6E7C" w:rsidRPr="00A75C48" w:rsidRDefault="00297C9A" w:rsidP="00F05DA0">
      <w:pPr>
        <w:autoSpaceDE w:val="0"/>
        <w:autoSpaceDN w:val="0"/>
        <w:adjustRightInd w:val="0"/>
        <w:spacing w:before="100" w:beforeAutospacing="1" w:after="100" w:afterAutospacing="1" w:line="240" w:lineRule="auto"/>
        <w:ind w:firstLine="708"/>
        <w:jc w:val="both"/>
        <w:rPr>
          <w:rFonts w:cstheme="minorHAnsi"/>
        </w:rPr>
      </w:pPr>
      <w:r w:rsidRPr="00A75C48">
        <w:rPr>
          <w:rFonts w:ascii="Calibri" w:hAnsi="Calibri"/>
          <w:color w:val="000000"/>
        </w:rPr>
        <w:t xml:space="preserve">Nazwy własne, </w:t>
      </w:r>
      <w:r w:rsidRPr="00A75C48">
        <w:rPr>
          <w:rFonts w:ascii="Calibri" w:eastAsia="Arial" w:hAnsi="Calibri" w:cs="Arial"/>
          <w:color w:val="000000"/>
        </w:rPr>
        <w:t xml:space="preserve">znaki towarowe zastosowanych urządzeń, aparatury i materiałów </w:t>
      </w:r>
      <w:r w:rsidRPr="00A75C48">
        <w:rPr>
          <w:rFonts w:ascii="Calibri" w:hAnsi="Calibri"/>
          <w:color w:val="000000"/>
        </w:rPr>
        <w:t xml:space="preserve">zawarte </w:t>
      </w:r>
      <w:r w:rsidR="00A75C48" w:rsidRPr="00A75C48">
        <w:rPr>
          <w:rFonts w:ascii="Calibri" w:hAnsi="Calibri"/>
          <w:color w:val="000000"/>
        </w:rPr>
        <w:br/>
      </w:r>
      <w:r w:rsidRPr="00A75C48">
        <w:rPr>
          <w:rFonts w:ascii="Calibri" w:hAnsi="Calibri"/>
          <w:color w:val="000000"/>
        </w:rPr>
        <w:t>w dokumentacji przetargowej  są przykładowe,</w:t>
      </w:r>
      <w:r w:rsidRPr="00A75C48">
        <w:rPr>
          <w:rFonts w:ascii="Calibri" w:eastAsia="Arial" w:hAnsi="Calibri" w:cs="Arial"/>
          <w:color w:val="000000"/>
        </w:rPr>
        <w:t xml:space="preserve"> określające parametry i standard jakościowy.</w:t>
      </w:r>
      <w:r w:rsidRPr="00A75C48">
        <w:rPr>
          <w:rFonts w:ascii="Calibri" w:hAnsi="Calibri"/>
          <w:color w:val="000000"/>
        </w:rPr>
        <w:t xml:space="preserve"> Zamawiający dopuszcza  zastosowanie  materiałów  i  produktów  równoważnych  pod  warunkiem,  że zaproponowane  materiały/produkty  będą  odpowiadały  pod  względem  parametrów równoważności  materiałom/produktom  wskazanym  przez  Zamawiającego.</w:t>
      </w:r>
      <w:r w:rsidR="009E6E7C" w:rsidRPr="00A75C48">
        <w:rPr>
          <w:rFonts w:cstheme="minorHAnsi"/>
        </w:rPr>
        <w:t xml:space="preserve"> Zamawiający przy zgodzie na zmiany będzie kierować się wyłącznie warunkiem zachowania w proponowanych urządzeniach zamiennych zaprojektowanych parametrów technicznych, funkcjonalnych </w:t>
      </w:r>
      <w:r w:rsidR="00A75C48">
        <w:rPr>
          <w:rFonts w:cstheme="minorHAnsi"/>
        </w:rPr>
        <w:br/>
      </w:r>
      <w:r w:rsidR="009E6E7C" w:rsidRPr="00A75C48">
        <w:rPr>
          <w:rFonts w:cstheme="minorHAnsi"/>
        </w:rPr>
        <w:t xml:space="preserve">i jakościowych. Ewentualne zmiany nie mogą doprowadzić do zaniżenia zaprojektowanego standardu systemu. </w:t>
      </w:r>
    </w:p>
    <w:p w:rsidR="00297C9A" w:rsidRPr="00A75C48" w:rsidRDefault="009E6E7C" w:rsidP="00A75C48">
      <w:pPr>
        <w:spacing w:before="100" w:beforeAutospacing="1" w:after="100" w:afterAutospacing="1" w:line="240" w:lineRule="auto"/>
        <w:ind w:firstLine="708"/>
        <w:jc w:val="both"/>
        <w:rPr>
          <w:rFonts w:cstheme="minorHAnsi"/>
        </w:rPr>
      </w:pPr>
      <w:r w:rsidRPr="00A75C48">
        <w:rPr>
          <w:rFonts w:cstheme="minorHAnsi"/>
        </w:rPr>
        <w:t xml:space="preserve">W przypadku składania ofert z zastosowaniem urządzeń równoważnych, podstawą do akceptacji zmian będzie dokładna informacja o zastosowanych urządzeniach, w rozumieniu: nazwa producenta, model, typ lub wersja proponowanego urządzenia oraz ilość, wraz z tabelarycznym zestawieniem porównawczym danych technicznych i funkcjonalnych. Jednocześnie w przypadku stosowania rozwiązań zamiennych lub alternatywnych należy przedstawić w ofercie dowody </w:t>
      </w:r>
      <w:r w:rsidR="00A75C48">
        <w:rPr>
          <w:rFonts w:cstheme="minorHAnsi"/>
        </w:rPr>
        <w:br/>
      </w:r>
      <w:r w:rsidRPr="00A75C48">
        <w:rPr>
          <w:rFonts w:cstheme="minorHAnsi"/>
        </w:rPr>
        <w:t>w postaci zaktualizowanych schematów blokowych oraz obliczeń technicznych, które potwierdzą spełnienie opisanych w niniejszym dokumencie wymagań funkcjonalnych i technicznych dla ofertowanych urządzeń i systemów</w:t>
      </w:r>
      <w:r w:rsidR="00A75C48" w:rsidRPr="00A75C48">
        <w:rPr>
          <w:rFonts w:cstheme="minorHAnsi"/>
        </w:rPr>
        <w:t xml:space="preserve"> wraz z załącznikiem nr 7 do SIWZ</w:t>
      </w:r>
      <w:r w:rsidRPr="00A75C48">
        <w:rPr>
          <w:rFonts w:cstheme="minorHAnsi"/>
        </w:rPr>
        <w:t>. Brak takich informacji spowoduje odrzucenie oferty przez Zamawiającego.</w:t>
      </w:r>
    </w:p>
    <w:p w:rsidR="00297C9A" w:rsidRPr="001D4A22" w:rsidRDefault="00297C9A" w:rsidP="00297C9A">
      <w:pPr>
        <w:jc w:val="both"/>
        <w:rPr>
          <w:rFonts w:ascii="Calibri" w:eastAsia="Arial" w:hAnsi="Calibri" w:cs="Arial"/>
          <w:color w:val="000000"/>
        </w:rPr>
      </w:pPr>
      <w:r w:rsidRPr="001D4A22">
        <w:rPr>
          <w:rFonts w:ascii="Calibri" w:eastAsia="Arial" w:hAnsi="Calibri" w:cs="Arial"/>
          <w:color w:val="000000"/>
        </w:rPr>
        <w:t>Zaleca się</w:t>
      </w:r>
      <w:r w:rsidRPr="001D4A22">
        <w:rPr>
          <w:rFonts w:ascii="Calibri" w:eastAsia="Arial" w:hAnsi="Calibri" w:cs="Arial"/>
          <w:b/>
          <w:color w:val="000000"/>
        </w:rPr>
        <w:t xml:space="preserve"> dokonanie</w:t>
      </w:r>
      <w:r w:rsidRPr="001D4A22">
        <w:rPr>
          <w:rFonts w:ascii="Calibri" w:eastAsia="Arial" w:hAnsi="Calibri" w:cs="Arial"/>
          <w:color w:val="000000"/>
        </w:rPr>
        <w:t xml:space="preserve"> wizji lokalnej na terenie prowadzenia przyszłych prac. W celu dokonania wizji lokalnej należy umówić się telefonicznie z Panem Sławomirem </w:t>
      </w:r>
      <w:proofErr w:type="spellStart"/>
      <w:r w:rsidRPr="001D4A22">
        <w:rPr>
          <w:rFonts w:ascii="Calibri" w:eastAsia="Arial" w:hAnsi="Calibri" w:cs="Arial"/>
          <w:color w:val="000000"/>
        </w:rPr>
        <w:t>Szaulińskim</w:t>
      </w:r>
      <w:proofErr w:type="spellEnd"/>
      <w:r w:rsidRPr="001D4A22">
        <w:rPr>
          <w:rFonts w:ascii="Calibri" w:eastAsia="Arial" w:hAnsi="Calibri" w:cs="Arial"/>
          <w:color w:val="000000"/>
        </w:rPr>
        <w:t xml:space="preserve"> tel. </w:t>
      </w:r>
      <w:r w:rsidR="00100739" w:rsidRPr="00100739">
        <w:rPr>
          <w:rFonts w:ascii="Calibri" w:eastAsia="Arial" w:hAnsi="Calibri" w:cs="Arial"/>
          <w:color w:val="000000"/>
        </w:rPr>
        <w:t>667 080 789</w:t>
      </w:r>
      <w:r w:rsidRPr="001D4A22">
        <w:rPr>
          <w:rFonts w:ascii="Calibri" w:eastAsia="Arial" w:hAnsi="Calibri" w:cs="Arial"/>
          <w:color w:val="000000"/>
        </w:rPr>
        <w:t xml:space="preserve">. </w:t>
      </w:r>
    </w:p>
    <w:p w:rsidR="000C6F97" w:rsidRPr="00E65B76" w:rsidRDefault="00297C9A" w:rsidP="00E65B76">
      <w:pPr>
        <w:jc w:val="both"/>
        <w:rPr>
          <w:rFonts w:ascii="Calibri" w:eastAsia="Arial" w:hAnsi="Calibri" w:cs="Arial"/>
          <w:color w:val="000000"/>
        </w:rPr>
      </w:pPr>
      <w:r w:rsidRPr="001D4A22">
        <w:rPr>
          <w:rFonts w:ascii="Calibri" w:eastAsia="Arial" w:hAnsi="Calibri" w:cs="Arial"/>
          <w:color w:val="000000"/>
        </w:rPr>
        <w:t>Szczegółowy opis przedmiotu zamówienia został określony w dokumentacji projektowej, która stanowi załącznik nr 5 do SIWZ.</w:t>
      </w:r>
    </w:p>
    <w:p w:rsidR="00A75C48" w:rsidRDefault="00FD1A75" w:rsidP="00FD1A75">
      <w:pPr>
        <w:pStyle w:val="Akapitzlist"/>
        <w:spacing w:before="100" w:beforeAutospacing="1" w:after="100" w:afterAutospacing="1" w:line="240" w:lineRule="auto"/>
        <w:ind w:left="0"/>
        <w:jc w:val="both"/>
        <w:rPr>
          <w:rFonts w:cstheme="minorHAnsi"/>
        </w:rPr>
      </w:pPr>
      <w:r w:rsidRPr="007F3CB8">
        <w:rPr>
          <w:rFonts w:cstheme="minorHAnsi"/>
        </w:rPr>
        <w:t>Wykonawca do protokołu odbioru prac dostarczy Zamawiającemu dokumentację powykonawczą</w:t>
      </w:r>
      <w:r w:rsidR="007F3CB8" w:rsidRPr="007F3CB8">
        <w:rPr>
          <w:rFonts w:cstheme="minorHAnsi"/>
        </w:rPr>
        <w:t xml:space="preserve"> wykonanych robót. Dokumentację powykonawczą</w:t>
      </w:r>
      <w:r w:rsidRPr="007F3CB8">
        <w:rPr>
          <w:rFonts w:cstheme="minorHAnsi"/>
        </w:rPr>
        <w:t xml:space="preserve"> należy sporządzić w ilości 3 egz. w czytelnej technice graficzn</w:t>
      </w:r>
      <w:r w:rsidR="007F3CB8">
        <w:rPr>
          <w:rFonts w:cstheme="minorHAnsi"/>
        </w:rPr>
        <w:t>ej oraz w formie elektronicznej</w:t>
      </w:r>
      <w:r w:rsidRPr="007F3CB8">
        <w:rPr>
          <w:rFonts w:cstheme="minorHAnsi"/>
        </w:rPr>
        <w:t xml:space="preserve">. </w:t>
      </w:r>
    </w:p>
    <w:p w:rsidR="00A75C48" w:rsidRDefault="00A75C48" w:rsidP="00FD1A75">
      <w:pPr>
        <w:pStyle w:val="Akapitzlist"/>
        <w:spacing w:before="100" w:beforeAutospacing="1" w:after="100" w:afterAutospacing="1" w:line="240" w:lineRule="auto"/>
        <w:ind w:left="0"/>
        <w:jc w:val="both"/>
        <w:rPr>
          <w:rFonts w:cstheme="minorHAnsi"/>
        </w:rPr>
      </w:pPr>
    </w:p>
    <w:p w:rsidR="00A75C48" w:rsidRDefault="00A75C48" w:rsidP="00FD1A75">
      <w:pPr>
        <w:pStyle w:val="Akapitzlist"/>
        <w:spacing w:before="100" w:beforeAutospacing="1" w:after="100" w:afterAutospacing="1" w:line="240" w:lineRule="auto"/>
        <w:ind w:left="0"/>
        <w:jc w:val="both"/>
        <w:rPr>
          <w:rFonts w:cstheme="minorHAnsi"/>
        </w:rPr>
      </w:pPr>
    </w:p>
    <w:p w:rsidR="00FD1A75" w:rsidRPr="007F3CB8" w:rsidRDefault="00FD1A75" w:rsidP="00FD1A75">
      <w:pPr>
        <w:pStyle w:val="Akapitzlist"/>
        <w:spacing w:before="100" w:beforeAutospacing="1" w:after="100" w:afterAutospacing="1" w:line="240" w:lineRule="auto"/>
        <w:ind w:left="0"/>
        <w:jc w:val="both"/>
        <w:rPr>
          <w:rFonts w:cstheme="minorHAnsi"/>
        </w:rPr>
      </w:pPr>
      <w:r w:rsidRPr="007F3CB8">
        <w:rPr>
          <w:rFonts w:cstheme="minorHAnsi"/>
        </w:rPr>
        <w:t xml:space="preserve">Dokumentacja powykonawcza powinna zawierać: </w:t>
      </w:r>
    </w:p>
    <w:p w:rsidR="00FD1A75" w:rsidRPr="007F3CB8" w:rsidRDefault="00FD1A75" w:rsidP="00FD1A75">
      <w:pPr>
        <w:pStyle w:val="Akapitzlist"/>
        <w:spacing w:before="100" w:beforeAutospacing="1" w:after="100" w:afterAutospacing="1" w:line="240" w:lineRule="auto"/>
        <w:ind w:left="0"/>
        <w:jc w:val="both"/>
        <w:rPr>
          <w:rFonts w:cstheme="minorHAnsi"/>
        </w:rPr>
      </w:pP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 xml:space="preserve">Stronę tytułową. </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Wykaz urządzeń: ilość dokładną nazwę wraz z pełnym oznaczeniem typu oraz numery fabryczne poszczególnych urządzeń.</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Karty gwarancyjne Wykonawcy dla wszystkich urządzeń.</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 xml:space="preserve">Karty katalogowe w języku polskim (lub ich tłumaczenia) </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 xml:space="preserve">Instrukcje producenta urządzeń. 6. Kserokopie (lub dane dotyczące) Certyfikatów, Atestów, homologacji, (jeżeli jest wymagana) urządzeń, materiałów. </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 xml:space="preserve">Wymagania Wykonawcy w zakresie konserwacji urządzeń i systemu. </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 xml:space="preserve">Protokoły z badań i pomiarów sprawdzających instalację elektryczną linii zasilających oraz urządzeń podlegających ochronie. </w:t>
      </w:r>
    </w:p>
    <w:p w:rsidR="00FD1A75" w:rsidRPr="007F3CB8" w:rsidRDefault="00FD1A75" w:rsidP="007F3CB8">
      <w:pPr>
        <w:pStyle w:val="Akapitzlist"/>
        <w:numPr>
          <w:ilvl w:val="0"/>
          <w:numId w:val="14"/>
        </w:numPr>
        <w:spacing w:before="100" w:beforeAutospacing="1" w:after="100" w:afterAutospacing="1" w:line="240" w:lineRule="auto"/>
        <w:ind w:left="284" w:hanging="284"/>
        <w:jc w:val="both"/>
        <w:rPr>
          <w:rFonts w:cstheme="minorHAnsi"/>
        </w:rPr>
      </w:pPr>
      <w:r w:rsidRPr="007F3CB8">
        <w:rPr>
          <w:rFonts w:cstheme="minorHAnsi"/>
        </w:rPr>
        <w:t>Datę, nr zaświadczeń kwalifikacyjnych oraz nazwiska i podpisy osób, które opracowały poszczególne punkty dokumentacji lub wykonywały prace, pomiary i badania, przeprowadzały szkolenie.</w:t>
      </w:r>
    </w:p>
    <w:p w:rsidR="00C24CDB" w:rsidRPr="004004E3" w:rsidRDefault="00C24CDB" w:rsidP="004004E3">
      <w:pPr>
        <w:spacing w:before="100" w:beforeAutospacing="1" w:after="100" w:afterAutospacing="1" w:line="240" w:lineRule="auto"/>
        <w:ind w:left="-11"/>
        <w:jc w:val="both"/>
        <w:rPr>
          <w:rFonts w:cstheme="minorHAnsi"/>
        </w:rPr>
      </w:pPr>
      <w:r w:rsidRPr="004004E3">
        <w:rPr>
          <w:rFonts w:cstheme="minorHAnsi"/>
          <w:b/>
        </w:rPr>
        <w:t xml:space="preserve">Wymagania </w:t>
      </w:r>
      <w:r w:rsidR="00B5449D" w:rsidRPr="004004E3">
        <w:rPr>
          <w:rFonts w:cstheme="minorHAnsi"/>
          <w:b/>
        </w:rPr>
        <w:t xml:space="preserve">dla Wykonawcy </w:t>
      </w:r>
    </w:p>
    <w:p w:rsidR="00C24CDB" w:rsidRPr="004004E3" w:rsidRDefault="00E65B76" w:rsidP="000C6F97">
      <w:pPr>
        <w:pStyle w:val="Akapitzlist"/>
        <w:spacing w:before="100" w:beforeAutospacing="1" w:after="100" w:afterAutospacing="1" w:line="240" w:lineRule="auto"/>
        <w:ind w:left="284"/>
        <w:jc w:val="both"/>
        <w:rPr>
          <w:rFonts w:cstheme="minorHAnsi"/>
          <w:b/>
        </w:rPr>
      </w:pPr>
      <w:r>
        <w:rPr>
          <w:rFonts w:cstheme="minorHAnsi"/>
          <w:b/>
        </w:rPr>
        <w:t>W terminie 3 dni przed zawarciem umowy Wykonawca zobowiązany jest dostarczyć następujące dokumenty</w:t>
      </w:r>
      <w:r w:rsidR="00C24CDB" w:rsidRPr="004004E3">
        <w:rPr>
          <w:rFonts w:cstheme="minorHAnsi"/>
          <w:b/>
        </w:rPr>
        <w:t>:</w:t>
      </w:r>
    </w:p>
    <w:p w:rsidR="00C24CDB" w:rsidRPr="004004E3" w:rsidRDefault="00C24CDB" w:rsidP="000C6F97">
      <w:pPr>
        <w:numPr>
          <w:ilvl w:val="0"/>
          <w:numId w:val="2"/>
        </w:numPr>
        <w:spacing w:before="100" w:beforeAutospacing="1" w:after="100" w:afterAutospacing="1" w:line="240" w:lineRule="auto"/>
        <w:contextualSpacing/>
        <w:jc w:val="both"/>
        <w:rPr>
          <w:rFonts w:eastAsia="Calibri" w:cstheme="minorHAnsi"/>
        </w:rPr>
      </w:pPr>
      <w:r w:rsidRPr="004004E3">
        <w:rPr>
          <w:rFonts w:eastAsia="Calibri" w:cstheme="minorHAnsi"/>
        </w:rPr>
        <w:t>Dokument autoryzacji producenta</w:t>
      </w:r>
      <w:r w:rsidR="005463DB" w:rsidRPr="005463DB">
        <w:rPr>
          <w:rFonts w:cstheme="minorHAnsi"/>
        </w:rPr>
        <w:t xml:space="preserve"> </w:t>
      </w:r>
      <w:r w:rsidR="005463DB">
        <w:rPr>
          <w:rFonts w:cstheme="minorHAnsi"/>
        </w:rPr>
        <w:t xml:space="preserve">w zakresie </w:t>
      </w:r>
      <w:r w:rsidR="005463DB" w:rsidRPr="004004E3">
        <w:rPr>
          <w:rFonts w:cstheme="minorHAnsi"/>
        </w:rPr>
        <w:t>projektowania, instalowania, konfigurowania, programowania i serwisowania</w:t>
      </w:r>
      <w:r w:rsidRPr="004004E3">
        <w:rPr>
          <w:rFonts w:eastAsia="Calibri" w:cstheme="minorHAnsi"/>
        </w:rPr>
        <w:t xml:space="preserve"> oferowanych rejestratorów cyfrowych.</w:t>
      </w:r>
    </w:p>
    <w:p w:rsidR="00C24CDB" w:rsidRPr="004004E3" w:rsidRDefault="00C24CDB" w:rsidP="004004E3">
      <w:pPr>
        <w:numPr>
          <w:ilvl w:val="0"/>
          <w:numId w:val="2"/>
        </w:numPr>
        <w:suppressAutoHyphens/>
        <w:spacing w:before="100" w:beforeAutospacing="1" w:after="100" w:afterAutospacing="1" w:line="240" w:lineRule="auto"/>
        <w:jc w:val="both"/>
        <w:rPr>
          <w:rFonts w:cstheme="minorHAnsi"/>
        </w:rPr>
      </w:pPr>
      <w:r w:rsidRPr="004004E3">
        <w:rPr>
          <w:rFonts w:cstheme="minorHAnsi"/>
        </w:rPr>
        <w:t>Dokument autoryzacji producenta</w:t>
      </w:r>
      <w:r w:rsidR="004004E3">
        <w:rPr>
          <w:rFonts w:cstheme="minorHAnsi"/>
        </w:rPr>
        <w:t xml:space="preserve"> w zakresie </w:t>
      </w:r>
      <w:r w:rsidR="004004E3" w:rsidRPr="004004E3">
        <w:rPr>
          <w:rFonts w:cstheme="minorHAnsi"/>
        </w:rPr>
        <w:t>projektowania, instalowania, konfigurowania, programowania i serwisowania</w:t>
      </w:r>
      <w:r w:rsidRPr="004004E3">
        <w:rPr>
          <w:rFonts w:cstheme="minorHAnsi"/>
        </w:rPr>
        <w:t xml:space="preserve"> istniejącego zespołu rejestratorów cyfrowych systemu monitoringu miejskiego miasta Kołobrzeg, oraz monitoringu stadionu,</w:t>
      </w:r>
    </w:p>
    <w:p w:rsidR="00C24CDB" w:rsidRPr="004004E3" w:rsidRDefault="00C24CDB" w:rsidP="000C6F97">
      <w:pPr>
        <w:numPr>
          <w:ilvl w:val="0"/>
          <w:numId w:val="2"/>
        </w:numPr>
        <w:spacing w:before="100" w:beforeAutospacing="1" w:after="100" w:afterAutospacing="1" w:line="240" w:lineRule="auto"/>
        <w:contextualSpacing/>
        <w:jc w:val="both"/>
        <w:rPr>
          <w:rFonts w:eastAsia="Calibri" w:cstheme="minorHAnsi"/>
        </w:rPr>
      </w:pPr>
      <w:r w:rsidRPr="004004E3">
        <w:rPr>
          <w:rFonts w:eastAsia="Calibri" w:cstheme="minorHAnsi"/>
        </w:rPr>
        <w:t>Dokument autoryzacji producenta</w:t>
      </w:r>
      <w:r w:rsidR="004004E3">
        <w:rPr>
          <w:rFonts w:eastAsia="Calibri" w:cstheme="minorHAnsi"/>
        </w:rPr>
        <w:t xml:space="preserve"> w zakresie projektowania, instalowania i konfigurowania</w:t>
      </w:r>
      <w:r w:rsidRPr="004004E3">
        <w:rPr>
          <w:rFonts w:eastAsia="Calibri" w:cstheme="minorHAnsi"/>
        </w:rPr>
        <w:t xml:space="preserve"> oferowanych kamer</w:t>
      </w:r>
      <w:r w:rsidR="004004E3">
        <w:rPr>
          <w:rFonts w:eastAsia="Calibri" w:cstheme="minorHAnsi"/>
        </w:rPr>
        <w:t xml:space="preserve"> cyfrowych</w:t>
      </w:r>
      <w:r w:rsidRPr="004004E3">
        <w:rPr>
          <w:rFonts w:eastAsia="Calibri" w:cstheme="minorHAnsi"/>
        </w:rPr>
        <w:t>.</w:t>
      </w:r>
    </w:p>
    <w:p w:rsidR="00C24CDB" w:rsidRPr="004004E3" w:rsidRDefault="00C24CDB" w:rsidP="000C6F97">
      <w:pPr>
        <w:pStyle w:val="Akapitzlist"/>
        <w:spacing w:before="100" w:beforeAutospacing="1" w:after="100" w:afterAutospacing="1" w:line="240" w:lineRule="auto"/>
        <w:ind w:left="0"/>
        <w:jc w:val="both"/>
        <w:rPr>
          <w:rFonts w:cstheme="minorHAnsi"/>
        </w:rPr>
      </w:pPr>
    </w:p>
    <w:p w:rsidR="00955120" w:rsidRPr="00955120" w:rsidRDefault="00955120" w:rsidP="00955120">
      <w:pPr>
        <w:pStyle w:val="Akapitzlist"/>
        <w:numPr>
          <w:ilvl w:val="0"/>
          <w:numId w:val="16"/>
        </w:numPr>
        <w:spacing w:before="100" w:beforeAutospacing="1" w:after="100" w:afterAutospacing="1" w:line="240" w:lineRule="auto"/>
        <w:ind w:left="284" w:hanging="284"/>
        <w:jc w:val="both"/>
        <w:rPr>
          <w:rFonts w:cstheme="minorHAnsi"/>
        </w:rPr>
      </w:pPr>
      <w:r w:rsidRPr="00955120">
        <w:rPr>
          <w:rFonts w:cstheme="minorHAnsi"/>
        </w:rPr>
        <w:t>W okresie gwarancji określonym w umowie Wykonawca zapewni bezpłatny kompletny serwis zamontowanych w ramach zamówienia urządzeń, na następujących warunkach:</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konserwacje i przeglądy urządzeń wykonywane będą zgodnie z zaleceniami producentów poszczególnych urządzeń;</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 xml:space="preserve">czas reakcji serwisu (przyjazd i rozpoczęcie usuwania awarii) nie </w:t>
      </w:r>
      <w:r w:rsidRPr="00100739">
        <w:rPr>
          <w:rFonts w:cstheme="minorHAnsi"/>
        </w:rPr>
        <w:t xml:space="preserve">dłuższy </w:t>
      </w:r>
      <w:r w:rsidR="00100739" w:rsidRPr="00100739">
        <w:rPr>
          <w:rFonts w:cstheme="minorHAnsi"/>
        </w:rPr>
        <w:t>niż 48</w:t>
      </w:r>
      <w:r w:rsidR="00100739">
        <w:rPr>
          <w:rFonts w:cstheme="minorHAnsi"/>
        </w:rPr>
        <w:t xml:space="preserve"> godzin</w:t>
      </w:r>
      <w:r w:rsidRPr="00955120">
        <w:rPr>
          <w:rFonts w:cstheme="minorHAnsi"/>
        </w:rPr>
        <w:t xml:space="preserve"> od czasu zgłoszenia przez użytkownika. Naprawy dokonywane będą w miejscu instalacji urządzeń;</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w przypadku niemożności dokonania naprawy na miejscu i konieczności dostarczenia sprzętu do punktu serwisowego - koszty z tym  związane pokrywa Wykonawca;</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awaria może zostać usunięta poprzez naprawę lub zastąpienie i uruchomienie takiego samego urządzenia (sprzętu) zastępczego o podobnych, ale nie gorszych parametrach;</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zastosowanie sprzętu innego niż był zamontowany wymaga pisemnej zgody Zamawiającego;</w:t>
      </w:r>
    </w:p>
    <w:p w:rsidR="00955120" w:rsidRPr="00955120" w:rsidRDefault="00955120" w:rsidP="00955120">
      <w:pPr>
        <w:pStyle w:val="Akapitzlist"/>
        <w:numPr>
          <w:ilvl w:val="0"/>
          <w:numId w:val="17"/>
        </w:numPr>
        <w:spacing w:before="100" w:beforeAutospacing="1" w:after="100" w:afterAutospacing="1" w:line="240" w:lineRule="auto"/>
        <w:jc w:val="both"/>
        <w:rPr>
          <w:rFonts w:cstheme="minorHAnsi"/>
        </w:rPr>
      </w:pPr>
      <w:r w:rsidRPr="00955120">
        <w:rPr>
          <w:rFonts w:cstheme="minorHAnsi"/>
        </w:rPr>
        <w:t xml:space="preserve">w wypadku konieczności wymiany urządzenia na nowe zgodnie z warunkami gwarancji producenta, Wykonawca zobowiązany jest dokonać wymiany sprzętu na nowy, taki sam lub o podobnych, lecz nie gorszych parametrach. </w:t>
      </w:r>
    </w:p>
    <w:p w:rsidR="00FD1A75" w:rsidRPr="00955120" w:rsidRDefault="00955120" w:rsidP="00955120">
      <w:pPr>
        <w:pStyle w:val="Akapitzlist"/>
        <w:numPr>
          <w:ilvl w:val="0"/>
          <w:numId w:val="16"/>
        </w:numPr>
        <w:spacing w:before="100" w:beforeAutospacing="1" w:after="100" w:afterAutospacing="1" w:line="240" w:lineRule="auto"/>
        <w:ind w:left="284" w:hanging="284"/>
        <w:jc w:val="both"/>
        <w:rPr>
          <w:rFonts w:cstheme="minorHAnsi"/>
        </w:rPr>
      </w:pPr>
      <w:r w:rsidRPr="00955120">
        <w:rPr>
          <w:rFonts w:cstheme="minorHAnsi"/>
        </w:rPr>
        <w:t xml:space="preserve">W przypadku braku reakcji na zgłoszoną awarię lub nie podejmowania naprawy w czasie, o którym mowa w pkt 1 </w:t>
      </w:r>
      <w:proofErr w:type="spellStart"/>
      <w:r w:rsidRPr="00955120">
        <w:rPr>
          <w:rFonts w:cstheme="minorHAnsi"/>
        </w:rPr>
        <w:t>ppkt</w:t>
      </w:r>
      <w:proofErr w:type="spellEnd"/>
      <w:r w:rsidRPr="00955120">
        <w:rPr>
          <w:rFonts w:cstheme="minorHAnsi"/>
        </w:rPr>
        <w:t xml:space="preserve"> 2, Zamawiający jest uprawniony do zlecenia usunięcia awarii przez inny serwis, na koszt i ryzyko  Wykonawcę.</w:t>
      </w:r>
    </w:p>
    <w:sectPr w:rsidR="00FD1A75" w:rsidRPr="0095512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BB" w:rsidRDefault="008950BB" w:rsidP="0034713A">
      <w:pPr>
        <w:spacing w:after="0" w:line="240" w:lineRule="auto"/>
      </w:pPr>
      <w:r>
        <w:separator/>
      </w:r>
    </w:p>
  </w:endnote>
  <w:endnote w:type="continuationSeparator" w:id="0">
    <w:p w:rsidR="008950BB" w:rsidRDefault="008950BB" w:rsidP="0034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BB" w:rsidRDefault="008950BB" w:rsidP="0034713A">
      <w:pPr>
        <w:spacing w:after="0" w:line="240" w:lineRule="auto"/>
      </w:pPr>
      <w:r>
        <w:separator/>
      </w:r>
    </w:p>
  </w:footnote>
  <w:footnote w:type="continuationSeparator" w:id="0">
    <w:p w:rsidR="008950BB" w:rsidRDefault="008950BB" w:rsidP="00347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EF6" w:rsidRDefault="00795E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94"/>
    <w:multiLevelType w:val="hybridMultilevel"/>
    <w:tmpl w:val="84682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C05F2"/>
    <w:multiLevelType w:val="hybridMultilevel"/>
    <w:tmpl w:val="B108EC3E"/>
    <w:lvl w:ilvl="0" w:tplc="9B245E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B452BC"/>
    <w:multiLevelType w:val="hybridMultilevel"/>
    <w:tmpl w:val="9BC43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FC17C6"/>
    <w:multiLevelType w:val="hybridMultilevel"/>
    <w:tmpl w:val="6FD00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57555A"/>
    <w:multiLevelType w:val="hybridMultilevel"/>
    <w:tmpl w:val="E86400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EC37583"/>
    <w:multiLevelType w:val="hybridMultilevel"/>
    <w:tmpl w:val="6EE25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5562C5"/>
    <w:multiLevelType w:val="hybridMultilevel"/>
    <w:tmpl w:val="491E5C36"/>
    <w:lvl w:ilvl="0" w:tplc="BB262FCE">
      <w:numFmt w:val="bullet"/>
      <w:lvlText w:val="•"/>
      <w:lvlJc w:val="left"/>
      <w:pPr>
        <w:ind w:left="1069" w:hanging="360"/>
      </w:pPr>
      <w:rPr>
        <w:rFonts w:ascii="Arial" w:eastAsia="Times New Roman" w:hAnsi="Arial" w:cs="Aria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7">
    <w:nsid w:val="0F735013"/>
    <w:multiLevelType w:val="hybridMultilevel"/>
    <w:tmpl w:val="19682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10177B0D"/>
    <w:multiLevelType w:val="hybridMultilevel"/>
    <w:tmpl w:val="F9F866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AE0BF2"/>
    <w:multiLevelType w:val="hybridMultilevel"/>
    <w:tmpl w:val="09FA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F57460"/>
    <w:multiLevelType w:val="hybridMultilevel"/>
    <w:tmpl w:val="AA504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670C99"/>
    <w:multiLevelType w:val="multilevel"/>
    <w:tmpl w:val="44DE89AA"/>
    <w:lvl w:ilvl="0">
      <w:start w:val="1"/>
      <w:numFmt w:val="decimal"/>
      <w:lvlText w:val="%1."/>
      <w:lvlJc w:val="left"/>
      <w:pPr>
        <w:ind w:left="720" w:hanging="360"/>
      </w:pPr>
    </w:lvl>
    <w:lvl w:ilvl="1">
      <w:start w:val="1"/>
      <w:numFmt w:val="decimal"/>
      <w:pStyle w:val="Nagwek2"/>
      <w:lvlText w:val="%1.%2."/>
      <w:lvlJc w:val="left"/>
      <w:pPr>
        <w:ind w:left="1152" w:hanging="432"/>
      </w:pPr>
      <w:rPr>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2EC636A"/>
    <w:multiLevelType w:val="hybridMultilevel"/>
    <w:tmpl w:val="3A22B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7E5C36"/>
    <w:multiLevelType w:val="hybridMultilevel"/>
    <w:tmpl w:val="BFE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BFD3AA4"/>
    <w:multiLevelType w:val="hybridMultilevel"/>
    <w:tmpl w:val="857EC97A"/>
    <w:lvl w:ilvl="0" w:tplc="F10E69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1F1009"/>
    <w:multiLevelType w:val="hybridMultilevel"/>
    <w:tmpl w:val="D02E1C9A"/>
    <w:lvl w:ilvl="0" w:tplc="04150001">
      <w:start w:val="1"/>
      <w:numFmt w:val="bullet"/>
      <w:lvlText w:val=""/>
      <w:lvlJc w:val="left"/>
      <w:pPr>
        <w:ind w:left="1872" w:hanging="360"/>
      </w:pPr>
      <w:rPr>
        <w:rFonts w:ascii="Symbol" w:hAnsi="Symbol" w:hint="default"/>
      </w:rPr>
    </w:lvl>
    <w:lvl w:ilvl="1" w:tplc="04150003">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6">
    <w:nsid w:val="464D4066"/>
    <w:multiLevelType w:val="hybridMultilevel"/>
    <w:tmpl w:val="78F82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675C09"/>
    <w:multiLevelType w:val="hybridMultilevel"/>
    <w:tmpl w:val="F5B47DF6"/>
    <w:lvl w:ilvl="0" w:tplc="D604F0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7027E1"/>
    <w:multiLevelType w:val="hybridMultilevel"/>
    <w:tmpl w:val="F7B6B4C0"/>
    <w:lvl w:ilvl="0" w:tplc="F492309A">
      <w:start w:val="1"/>
      <w:numFmt w:val="decimal"/>
      <w:lvlText w:val="%1."/>
      <w:lvlJc w:val="left"/>
      <w:pPr>
        <w:ind w:left="1683" w:hanging="97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73FE166A"/>
    <w:multiLevelType w:val="hybridMultilevel"/>
    <w:tmpl w:val="94122316"/>
    <w:lvl w:ilvl="0" w:tplc="846CC1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
  </w:num>
  <w:num w:numId="3">
    <w:abstractNumId w:val="6"/>
  </w:num>
  <w:num w:numId="4">
    <w:abstractNumId w:val="8"/>
  </w:num>
  <w:num w:numId="5">
    <w:abstractNumId w:val="3"/>
  </w:num>
  <w:num w:numId="6">
    <w:abstractNumId w:val="11"/>
  </w:num>
  <w:num w:numId="7">
    <w:abstractNumId w:val="15"/>
  </w:num>
  <w:num w:numId="8">
    <w:abstractNumId w:val="7"/>
  </w:num>
  <w:num w:numId="9">
    <w:abstractNumId w:val="5"/>
  </w:num>
  <w:num w:numId="10">
    <w:abstractNumId w:val="9"/>
  </w:num>
  <w:num w:numId="11">
    <w:abstractNumId w:val="13"/>
  </w:num>
  <w:num w:numId="12">
    <w:abstractNumId w:val="2"/>
  </w:num>
  <w:num w:numId="13">
    <w:abstractNumId w:val="10"/>
  </w:num>
  <w:num w:numId="14">
    <w:abstractNumId w:val="16"/>
  </w:num>
  <w:num w:numId="15">
    <w:abstractNumId w:val="12"/>
  </w:num>
  <w:num w:numId="16">
    <w:abstractNumId w:val="1"/>
  </w:num>
  <w:num w:numId="17">
    <w:abstractNumId w:val="0"/>
  </w:num>
  <w:num w:numId="18">
    <w:abstractNumId w:val="14"/>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E"/>
    <w:rsid w:val="00044707"/>
    <w:rsid w:val="000979CA"/>
    <w:rsid w:val="000C6F97"/>
    <w:rsid w:val="000E1263"/>
    <w:rsid w:val="000F6BB9"/>
    <w:rsid w:val="00100739"/>
    <w:rsid w:val="001412AF"/>
    <w:rsid w:val="00151707"/>
    <w:rsid w:val="0016441A"/>
    <w:rsid w:val="001D4A22"/>
    <w:rsid w:val="00207977"/>
    <w:rsid w:val="0022685C"/>
    <w:rsid w:val="00232CBE"/>
    <w:rsid w:val="00236165"/>
    <w:rsid w:val="00243F94"/>
    <w:rsid w:val="002636E0"/>
    <w:rsid w:val="00297C9A"/>
    <w:rsid w:val="002B7A6E"/>
    <w:rsid w:val="002C2514"/>
    <w:rsid w:val="0034713A"/>
    <w:rsid w:val="003A40A6"/>
    <w:rsid w:val="003C3506"/>
    <w:rsid w:val="003F64F2"/>
    <w:rsid w:val="004004E3"/>
    <w:rsid w:val="00435A59"/>
    <w:rsid w:val="004410BA"/>
    <w:rsid w:val="004C621E"/>
    <w:rsid w:val="00514304"/>
    <w:rsid w:val="005463DB"/>
    <w:rsid w:val="005A34DC"/>
    <w:rsid w:val="005D40B0"/>
    <w:rsid w:val="006318C9"/>
    <w:rsid w:val="006B0072"/>
    <w:rsid w:val="006C2653"/>
    <w:rsid w:val="006C7A76"/>
    <w:rsid w:val="00757790"/>
    <w:rsid w:val="00795EF6"/>
    <w:rsid w:val="007B1050"/>
    <w:rsid w:val="007F3CB8"/>
    <w:rsid w:val="00826942"/>
    <w:rsid w:val="00851516"/>
    <w:rsid w:val="008552C6"/>
    <w:rsid w:val="00893FE7"/>
    <w:rsid w:val="008950BB"/>
    <w:rsid w:val="008B502C"/>
    <w:rsid w:val="009365A7"/>
    <w:rsid w:val="00955120"/>
    <w:rsid w:val="00976DB6"/>
    <w:rsid w:val="00985833"/>
    <w:rsid w:val="009E6E7C"/>
    <w:rsid w:val="00A1386C"/>
    <w:rsid w:val="00A31D32"/>
    <w:rsid w:val="00A75C48"/>
    <w:rsid w:val="00A932C5"/>
    <w:rsid w:val="00AA144C"/>
    <w:rsid w:val="00AF6239"/>
    <w:rsid w:val="00B16DE0"/>
    <w:rsid w:val="00B5449D"/>
    <w:rsid w:val="00BA1004"/>
    <w:rsid w:val="00BB13FC"/>
    <w:rsid w:val="00BC27C5"/>
    <w:rsid w:val="00BC49B0"/>
    <w:rsid w:val="00C24CDB"/>
    <w:rsid w:val="00C3400C"/>
    <w:rsid w:val="00C64391"/>
    <w:rsid w:val="00C86FF3"/>
    <w:rsid w:val="00C96050"/>
    <w:rsid w:val="00CC656C"/>
    <w:rsid w:val="00CD3605"/>
    <w:rsid w:val="00CD460F"/>
    <w:rsid w:val="00CE0869"/>
    <w:rsid w:val="00CE0D0E"/>
    <w:rsid w:val="00D2269E"/>
    <w:rsid w:val="00D4038D"/>
    <w:rsid w:val="00DA056B"/>
    <w:rsid w:val="00DD4284"/>
    <w:rsid w:val="00E03D0C"/>
    <w:rsid w:val="00E65B76"/>
    <w:rsid w:val="00E90562"/>
    <w:rsid w:val="00EA523C"/>
    <w:rsid w:val="00EA7C62"/>
    <w:rsid w:val="00EB71EC"/>
    <w:rsid w:val="00ED3251"/>
    <w:rsid w:val="00F05DA0"/>
    <w:rsid w:val="00F2072D"/>
    <w:rsid w:val="00F26A66"/>
    <w:rsid w:val="00F34439"/>
    <w:rsid w:val="00F803A6"/>
    <w:rsid w:val="00FD1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4004E3"/>
    <w:pPr>
      <w:keepNext/>
      <w:keepLines/>
      <w:spacing w:after="0" w:line="240" w:lineRule="auto"/>
      <w:outlineLvl w:val="0"/>
    </w:pPr>
    <w:rPr>
      <w:rFonts w:eastAsiaTheme="majorEastAsia" w:cstheme="minorHAnsi"/>
      <w:b/>
      <w:szCs w:val="32"/>
    </w:rPr>
  </w:style>
  <w:style w:type="paragraph" w:styleId="Nagwek2">
    <w:name w:val="heading 2"/>
    <w:basedOn w:val="Normalny"/>
    <w:next w:val="Normalny"/>
    <w:link w:val="Nagwek2Znak"/>
    <w:autoRedefine/>
    <w:unhideWhenUsed/>
    <w:qFormat/>
    <w:rsid w:val="004004E3"/>
    <w:pPr>
      <w:keepNext/>
      <w:keepLines/>
      <w:numPr>
        <w:ilvl w:val="1"/>
        <w:numId w:val="6"/>
      </w:numPr>
      <w:spacing w:after="0" w:line="360" w:lineRule="auto"/>
      <w:ind w:left="709"/>
      <w:outlineLvl w:val="1"/>
    </w:pPr>
    <w:rPr>
      <w:rFonts w:ascii="Arial" w:eastAsia="Times New Roman" w:hAnsi="Arial" w:cs="Times New Roman"/>
      <w:b/>
      <w:bCs/>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471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713A"/>
    <w:rPr>
      <w:sz w:val="20"/>
      <w:szCs w:val="20"/>
    </w:rPr>
  </w:style>
  <w:style w:type="character" w:styleId="Odwoanieprzypisukocowego">
    <w:name w:val="endnote reference"/>
    <w:basedOn w:val="Domylnaczcionkaakapitu"/>
    <w:uiPriority w:val="99"/>
    <w:semiHidden/>
    <w:unhideWhenUsed/>
    <w:rsid w:val="0034713A"/>
    <w:rPr>
      <w:vertAlign w:val="superscript"/>
    </w:rPr>
  </w:style>
  <w:style w:type="paragraph" w:styleId="Akapitzlist">
    <w:name w:val="List Paragraph"/>
    <w:basedOn w:val="Normalny"/>
    <w:uiPriority w:val="34"/>
    <w:qFormat/>
    <w:rsid w:val="0034713A"/>
    <w:pPr>
      <w:ind w:left="720"/>
      <w:contextualSpacing/>
    </w:pPr>
  </w:style>
  <w:style w:type="paragraph" w:styleId="Tekstdymka">
    <w:name w:val="Balloon Text"/>
    <w:basedOn w:val="Normalny"/>
    <w:link w:val="TekstdymkaZnak"/>
    <w:uiPriority w:val="99"/>
    <w:semiHidden/>
    <w:unhideWhenUsed/>
    <w:rsid w:val="002636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6E0"/>
    <w:rPr>
      <w:rFonts w:ascii="Segoe UI" w:hAnsi="Segoe UI" w:cs="Segoe UI"/>
      <w:sz w:val="18"/>
      <w:szCs w:val="18"/>
    </w:rPr>
  </w:style>
  <w:style w:type="paragraph" w:styleId="Nagwek">
    <w:name w:val="header"/>
    <w:basedOn w:val="Normalny"/>
    <w:link w:val="NagwekZnak"/>
    <w:uiPriority w:val="99"/>
    <w:unhideWhenUsed/>
    <w:rsid w:val="0079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EF6"/>
  </w:style>
  <w:style w:type="paragraph" w:styleId="Stopka">
    <w:name w:val="footer"/>
    <w:basedOn w:val="Normalny"/>
    <w:link w:val="StopkaZnak"/>
    <w:uiPriority w:val="99"/>
    <w:unhideWhenUsed/>
    <w:rsid w:val="0079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EF6"/>
  </w:style>
  <w:style w:type="character" w:customStyle="1" w:styleId="Nagwek1Znak">
    <w:name w:val="Nagłówek 1 Znak"/>
    <w:basedOn w:val="Domylnaczcionkaakapitu"/>
    <w:link w:val="Nagwek1"/>
    <w:uiPriority w:val="9"/>
    <w:rsid w:val="004004E3"/>
    <w:rPr>
      <w:rFonts w:eastAsiaTheme="majorEastAsia" w:cstheme="minorHAnsi"/>
      <w:b/>
      <w:szCs w:val="32"/>
    </w:rPr>
  </w:style>
  <w:style w:type="character" w:customStyle="1" w:styleId="Nagwek2Znak">
    <w:name w:val="Nagłówek 2 Znak"/>
    <w:basedOn w:val="Domylnaczcionkaakapitu"/>
    <w:link w:val="Nagwek2"/>
    <w:rsid w:val="004004E3"/>
    <w:rPr>
      <w:rFonts w:ascii="Arial" w:eastAsia="Times New Roman" w:hAnsi="Arial" w:cs="Times New Roman"/>
      <w:b/>
      <w:bCs/>
      <w:szCs w:val="26"/>
      <w:lang w:val="x-none"/>
    </w:rPr>
  </w:style>
  <w:style w:type="character" w:styleId="Odwoaniedokomentarza">
    <w:name w:val="annotation reference"/>
    <w:basedOn w:val="Domylnaczcionkaakapitu"/>
    <w:uiPriority w:val="99"/>
    <w:semiHidden/>
    <w:unhideWhenUsed/>
    <w:rsid w:val="005A34DC"/>
    <w:rPr>
      <w:sz w:val="16"/>
      <w:szCs w:val="16"/>
    </w:rPr>
  </w:style>
  <w:style w:type="paragraph" w:styleId="Tekstkomentarza">
    <w:name w:val="annotation text"/>
    <w:basedOn w:val="Normalny"/>
    <w:link w:val="TekstkomentarzaZnak"/>
    <w:uiPriority w:val="99"/>
    <w:semiHidden/>
    <w:unhideWhenUsed/>
    <w:rsid w:val="005A34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34DC"/>
    <w:rPr>
      <w:sz w:val="20"/>
      <w:szCs w:val="20"/>
    </w:rPr>
  </w:style>
  <w:style w:type="paragraph" w:styleId="Tematkomentarza">
    <w:name w:val="annotation subject"/>
    <w:basedOn w:val="Tekstkomentarza"/>
    <w:next w:val="Tekstkomentarza"/>
    <w:link w:val="TematkomentarzaZnak"/>
    <w:uiPriority w:val="99"/>
    <w:semiHidden/>
    <w:unhideWhenUsed/>
    <w:rsid w:val="005A34DC"/>
    <w:rPr>
      <w:b/>
      <w:bCs/>
    </w:rPr>
  </w:style>
  <w:style w:type="character" w:customStyle="1" w:styleId="TematkomentarzaZnak">
    <w:name w:val="Temat komentarza Znak"/>
    <w:basedOn w:val="TekstkomentarzaZnak"/>
    <w:link w:val="Tematkomentarza"/>
    <w:uiPriority w:val="99"/>
    <w:semiHidden/>
    <w:rsid w:val="005A34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
    <w:qFormat/>
    <w:rsid w:val="004004E3"/>
    <w:pPr>
      <w:keepNext/>
      <w:keepLines/>
      <w:spacing w:after="0" w:line="240" w:lineRule="auto"/>
      <w:outlineLvl w:val="0"/>
    </w:pPr>
    <w:rPr>
      <w:rFonts w:eastAsiaTheme="majorEastAsia" w:cstheme="minorHAnsi"/>
      <w:b/>
      <w:szCs w:val="32"/>
    </w:rPr>
  </w:style>
  <w:style w:type="paragraph" w:styleId="Nagwek2">
    <w:name w:val="heading 2"/>
    <w:basedOn w:val="Normalny"/>
    <w:next w:val="Normalny"/>
    <w:link w:val="Nagwek2Znak"/>
    <w:autoRedefine/>
    <w:unhideWhenUsed/>
    <w:qFormat/>
    <w:rsid w:val="004004E3"/>
    <w:pPr>
      <w:keepNext/>
      <w:keepLines/>
      <w:numPr>
        <w:ilvl w:val="1"/>
        <w:numId w:val="6"/>
      </w:numPr>
      <w:spacing w:after="0" w:line="360" w:lineRule="auto"/>
      <w:ind w:left="709"/>
      <w:outlineLvl w:val="1"/>
    </w:pPr>
    <w:rPr>
      <w:rFonts w:ascii="Arial" w:eastAsia="Times New Roman" w:hAnsi="Arial" w:cs="Times New Roman"/>
      <w:b/>
      <w:bCs/>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471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713A"/>
    <w:rPr>
      <w:sz w:val="20"/>
      <w:szCs w:val="20"/>
    </w:rPr>
  </w:style>
  <w:style w:type="character" w:styleId="Odwoanieprzypisukocowego">
    <w:name w:val="endnote reference"/>
    <w:basedOn w:val="Domylnaczcionkaakapitu"/>
    <w:uiPriority w:val="99"/>
    <w:semiHidden/>
    <w:unhideWhenUsed/>
    <w:rsid w:val="0034713A"/>
    <w:rPr>
      <w:vertAlign w:val="superscript"/>
    </w:rPr>
  </w:style>
  <w:style w:type="paragraph" w:styleId="Akapitzlist">
    <w:name w:val="List Paragraph"/>
    <w:basedOn w:val="Normalny"/>
    <w:uiPriority w:val="34"/>
    <w:qFormat/>
    <w:rsid w:val="0034713A"/>
    <w:pPr>
      <w:ind w:left="720"/>
      <w:contextualSpacing/>
    </w:pPr>
  </w:style>
  <w:style w:type="paragraph" w:styleId="Tekstdymka">
    <w:name w:val="Balloon Text"/>
    <w:basedOn w:val="Normalny"/>
    <w:link w:val="TekstdymkaZnak"/>
    <w:uiPriority w:val="99"/>
    <w:semiHidden/>
    <w:unhideWhenUsed/>
    <w:rsid w:val="002636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36E0"/>
    <w:rPr>
      <w:rFonts w:ascii="Segoe UI" w:hAnsi="Segoe UI" w:cs="Segoe UI"/>
      <w:sz w:val="18"/>
      <w:szCs w:val="18"/>
    </w:rPr>
  </w:style>
  <w:style w:type="paragraph" w:styleId="Nagwek">
    <w:name w:val="header"/>
    <w:basedOn w:val="Normalny"/>
    <w:link w:val="NagwekZnak"/>
    <w:uiPriority w:val="99"/>
    <w:unhideWhenUsed/>
    <w:rsid w:val="0079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EF6"/>
  </w:style>
  <w:style w:type="paragraph" w:styleId="Stopka">
    <w:name w:val="footer"/>
    <w:basedOn w:val="Normalny"/>
    <w:link w:val="StopkaZnak"/>
    <w:uiPriority w:val="99"/>
    <w:unhideWhenUsed/>
    <w:rsid w:val="0079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EF6"/>
  </w:style>
  <w:style w:type="character" w:customStyle="1" w:styleId="Nagwek1Znak">
    <w:name w:val="Nagłówek 1 Znak"/>
    <w:basedOn w:val="Domylnaczcionkaakapitu"/>
    <w:link w:val="Nagwek1"/>
    <w:uiPriority w:val="9"/>
    <w:rsid w:val="004004E3"/>
    <w:rPr>
      <w:rFonts w:eastAsiaTheme="majorEastAsia" w:cstheme="minorHAnsi"/>
      <w:b/>
      <w:szCs w:val="32"/>
    </w:rPr>
  </w:style>
  <w:style w:type="character" w:customStyle="1" w:styleId="Nagwek2Znak">
    <w:name w:val="Nagłówek 2 Znak"/>
    <w:basedOn w:val="Domylnaczcionkaakapitu"/>
    <w:link w:val="Nagwek2"/>
    <w:rsid w:val="004004E3"/>
    <w:rPr>
      <w:rFonts w:ascii="Arial" w:eastAsia="Times New Roman" w:hAnsi="Arial" w:cs="Times New Roman"/>
      <w:b/>
      <w:bCs/>
      <w:szCs w:val="26"/>
      <w:lang w:val="x-none"/>
    </w:rPr>
  </w:style>
  <w:style w:type="character" w:styleId="Odwoaniedokomentarza">
    <w:name w:val="annotation reference"/>
    <w:basedOn w:val="Domylnaczcionkaakapitu"/>
    <w:uiPriority w:val="99"/>
    <w:semiHidden/>
    <w:unhideWhenUsed/>
    <w:rsid w:val="005A34DC"/>
    <w:rPr>
      <w:sz w:val="16"/>
      <w:szCs w:val="16"/>
    </w:rPr>
  </w:style>
  <w:style w:type="paragraph" w:styleId="Tekstkomentarza">
    <w:name w:val="annotation text"/>
    <w:basedOn w:val="Normalny"/>
    <w:link w:val="TekstkomentarzaZnak"/>
    <w:uiPriority w:val="99"/>
    <w:semiHidden/>
    <w:unhideWhenUsed/>
    <w:rsid w:val="005A34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34DC"/>
    <w:rPr>
      <w:sz w:val="20"/>
      <w:szCs w:val="20"/>
    </w:rPr>
  </w:style>
  <w:style w:type="paragraph" w:styleId="Tematkomentarza">
    <w:name w:val="annotation subject"/>
    <w:basedOn w:val="Tekstkomentarza"/>
    <w:next w:val="Tekstkomentarza"/>
    <w:link w:val="TematkomentarzaZnak"/>
    <w:uiPriority w:val="99"/>
    <w:semiHidden/>
    <w:unhideWhenUsed/>
    <w:rsid w:val="005A34DC"/>
    <w:rPr>
      <w:b/>
      <w:bCs/>
    </w:rPr>
  </w:style>
  <w:style w:type="character" w:customStyle="1" w:styleId="TematkomentarzaZnak">
    <w:name w:val="Temat komentarza Znak"/>
    <w:basedOn w:val="TekstkomentarzaZnak"/>
    <w:link w:val="Tematkomentarza"/>
    <w:uiPriority w:val="99"/>
    <w:semiHidden/>
    <w:rsid w:val="005A3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1645</Words>
  <Characters>9876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2018-03-09T12:57:00Z</dcterms:created>
  <dcterms:modified xsi:type="dcterms:W3CDTF">2018-09-25T05:28:00Z</dcterms:modified>
</cp:coreProperties>
</file>